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592F4D">
        <w:rPr>
          <w:rFonts w:asciiTheme="minorHAnsi" w:hAnsiTheme="minorHAnsi"/>
          <w:b/>
          <w:sz w:val="22"/>
          <w:szCs w:val="22"/>
          <w:u w:val="single"/>
        </w:rPr>
        <w:t>Í SMLOUVA – Návrh – Příloha č. 11</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B0158" w:rsidP="00587AAA">
      <w:pPr>
        <w:pStyle w:val="Zhlav"/>
        <w:ind w:right="570"/>
        <w:jc w:val="both"/>
        <w:rPr>
          <w:rFonts w:asciiTheme="minorHAnsi" w:hAnsiTheme="minorHAnsi"/>
          <w:sz w:val="22"/>
          <w:szCs w:val="22"/>
          <w:lang w:val="en-US"/>
        </w:rPr>
      </w:pPr>
      <w:r>
        <w:rPr>
          <w:rFonts w:asciiTheme="minorHAnsi" w:hAnsiTheme="minorHAnsi"/>
          <w:sz w:val="22"/>
          <w:szCs w:val="22"/>
          <w:lang w:val="en-US"/>
        </w:rPr>
        <w:t xml:space="preserve">  (dá</w:t>
      </w:r>
      <w:r w:rsidR="00784DC7" w:rsidRPr="009B3713">
        <w:rPr>
          <w:rFonts w:asciiTheme="minorHAnsi" w:hAnsiTheme="minorHAnsi"/>
          <w:sz w:val="22"/>
          <w:szCs w:val="22"/>
          <w:lang w:val="en-US"/>
        </w:rPr>
        <w:t>le jen prodávající)</w:t>
      </w:r>
    </w:p>
    <w:p w:rsidR="00A90155" w:rsidRPr="009B3713" w:rsidRDefault="00A90155" w:rsidP="00D8475B">
      <w:pPr>
        <w:ind w:right="570"/>
        <w:jc w:val="center"/>
        <w:rPr>
          <w:rFonts w:asciiTheme="minorHAnsi" w:hAnsiTheme="minorHAnsi"/>
          <w:sz w:val="22"/>
          <w:szCs w:val="22"/>
        </w:rPr>
      </w:pPr>
      <w:r w:rsidRPr="009B3713">
        <w:rPr>
          <w:rFonts w:asciiTheme="minorHAnsi" w:hAnsiTheme="minorHAnsi"/>
          <w:sz w:val="22"/>
          <w:szCs w:val="22"/>
          <w:lang w:val="de-DE"/>
        </w:rPr>
        <w:t>a</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Sídlo:</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cs="Verdana"/>
                <w:sz w:val="22"/>
                <w:szCs w:val="22"/>
                <w:lang w:val="en-US"/>
              </w:rPr>
            </w:pPr>
            <w:r w:rsidRPr="009B3713">
              <w:rPr>
                <w:rFonts w:asciiTheme="minorHAnsi" w:hAnsiTheme="minorHAnsi" w:cs="Verdana"/>
                <w:sz w:val="22"/>
                <w:szCs w:val="22"/>
              </w:rPr>
              <w:t>DIČ:</w:t>
            </w:r>
          </w:p>
        </w:tc>
        <w:tc>
          <w:tcPr>
            <w:tcW w:w="5743" w:type="dxa"/>
            <w:hideMark/>
          </w:tcPr>
          <w:p w:rsidR="00DB664C" w:rsidRPr="00D649E5" w:rsidRDefault="00D649E5" w:rsidP="00587AAA">
            <w:pPr>
              <w:tabs>
                <w:tab w:val="left" w:pos="2268"/>
              </w:tabs>
              <w:ind w:right="570"/>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Statutární zástupce:</w:t>
            </w:r>
          </w:p>
        </w:tc>
        <w:tc>
          <w:tcPr>
            <w:tcW w:w="5743" w:type="dxa"/>
            <w:hideMark/>
          </w:tcPr>
          <w:p w:rsidR="00DB664C" w:rsidRPr="009B3713" w:rsidRDefault="00DB664C" w:rsidP="00587AAA">
            <w:pPr>
              <w:tabs>
                <w:tab w:val="left" w:pos="2268"/>
              </w:tabs>
              <w:ind w:right="570"/>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587AAA">
        <w:tc>
          <w:tcPr>
            <w:tcW w:w="2694" w:type="dxa"/>
            <w:hideMark/>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587AAA">
        <w:tc>
          <w:tcPr>
            <w:tcW w:w="2694" w:type="dxa"/>
            <w:hideMark/>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5743" w:type="dxa"/>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Bankovní spojení:</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Číslo běžného účtu:</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587AAA">
      <w:pPr>
        <w:ind w:right="570"/>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635612" w:rsidRDefault="00635612" w:rsidP="00587AAA">
      <w:pPr>
        <w:jc w:val="center"/>
        <w:rPr>
          <w:rFonts w:ascii="Calibri" w:hAnsi="Calibri"/>
          <w:b/>
          <w:color w:val="000000"/>
          <w:sz w:val="28"/>
          <w:szCs w:val="28"/>
        </w:rPr>
      </w:pPr>
      <w:r w:rsidRPr="00587AAA">
        <w:rPr>
          <w:rFonts w:ascii="Calibri" w:hAnsi="Calibri"/>
          <w:b/>
          <w:color w:val="000000"/>
          <w:sz w:val="28"/>
          <w:szCs w:val="28"/>
        </w:rPr>
        <w:t>„</w:t>
      </w:r>
      <w:r w:rsidR="00587AAA" w:rsidRPr="00587AAA">
        <w:rPr>
          <w:rFonts w:ascii="Calibri" w:hAnsi="Calibri" w:cs="Arial"/>
          <w:b/>
          <w:bCs/>
          <w:sz w:val="28"/>
          <w:szCs w:val="28"/>
        </w:rPr>
        <w:t xml:space="preserve">Pomůcky pro Gymnázium Cheb </w:t>
      </w:r>
      <w:r w:rsidR="00E914B5">
        <w:rPr>
          <w:rFonts w:ascii="Calibri" w:hAnsi="Calibri" w:cs="Arial"/>
          <w:b/>
          <w:bCs/>
          <w:sz w:val="28"/>
          <w:szCs w:val="28"/>
        </w:rPr>
        <w:t>–</w:t>
      </w:r>
      <w:r w:rsidR="00587AAA" w:rsidRPr="00587AAA">
        <w:rPr>
          <w:rFonts w:ascii="Calibri" w:hAnsi="Calibri" w:cs="Arial"/>
          <w:b/>
          <w:bCs/>
          <w:sz w:val="28"/>
          <w:szCs w:val="28"/>
        </w:rPr>
        <w:t xml:space="preserve"> </w:t>
      </w:r>
      <w:r w:rsidR="0056198F">
        <w:rPr>
          <w:rFonts w:ascii="Calibri" w:hAnsi="Calibri" w:cs="Arial"/>
          <w:b/>
          <w:bCs/>
          <w:sz w:val="28"/>
          <w:szCs w:val="28"/>
        </w:rPr>
        <w:t>Fyzika</w:t>
      </w:r>
      <w:r w:rsidRPr="00587AAA">
        <w:rPr>
          <w:rFonts w:ascii="Calibri" w:hAnsi="Calibri"/>
          <w:b/>
          <w:color w:val="000000"/>
          <w:sz w:val="28"/>
          <w:szCs w:val="28"/>
        </w:rPr>
        <w:t>“</w:t>
      </w:r>
    </w:p>
    <w:p w:rsidR="00E914B5" w:rsidRPr="00305AAF" w:rsidRDefault="00E914B5" w:rsidP="00E914B5">
      <w:pPr>
        <w:pStyle w:val="Bezmezer"/>
        <w:numPr>
          <w:ilvl w:val="0"/>
          <w:numId w:val="0"/>
        </w:numPr>
        <w:spacing w:after="0"/>
        <w:contextualSpacing w:val="0"/>
        <w:jc w:val="center"/>
        <w:rPr>
          <w:b/>
        </w:rPr>
      </w:pPr>
      <w:r w:rsidRPr="00305AAF">
        <w:rPr>
          <w:b/>
        </w:rPr>
        <w:t>Část A)  „Pomůcky pro Gymnázium Cheb – Fyzika – Pomůcky I.“</w:t>
      </w:r>
    </w:p>
    <w:p w:rsidR="00E914B5" w:rsidRPr="00587AAA" w:rsidRDefault="00E914B5" w:rsidP="00587AAA">
      <w:pPr>
        <w:jc w:val="center"/>
        <w:rPr>
          <w:rFonts w:ascii="Calibri" w:hAnsi="Calibri"/>
          <w:b/>
          <w:color w:val="000000"/>
          <w:sz w:val="28"/>
          <w:szCs w:val="28"/>
        </w:rPr>
      </w:pPr>
    </w:p>
    <w:p w:rsidR="00465F57" w:rsidRPr="00587AAA" w:rsidRDefault="00465F57" w:rsidP="00587AAA">
      <w:pPr>
        <w:pStyle w:val="Bezmezer"/>
        <w:numPr>
          <w:ilvl w:val="0"/>
          <w:numId w:val="0"/>
        </w:numPr>
        <w:jc w:val="center"/>
      </w:pPr>
      <w:r w:rsidRPr="00587AAA">
        <w:t>Tato veřejná zakázka</w:t>
      </w:r>
    </w:p>
    <w:p w:rsidR="00A01BD0" w:rsidRPr="00587AAA" w:rsidRDefault="001833B8" w:rsidP="00587AAA">
      <w:pPr>
        <w:pStyle w:val="Default"/>
        <w:jc w:val="center"/>
        <w:rPr>
          <w:rFonts w:asciiTheme="minorHAnsi" w:hAnsiTheme="minorHAnsi"/>
          <w:bCs/>
          <w:sz w:val="22"/>
          <w:szCs w:val="22"/>
        </w:rPr>
      </w:pPr>
      <w:r>
        <w:rPr>
          <w:rFonts w:asciiTheme="minorHAnsi" w:eastAsiaTheme="minorHAnsi" w:hAnsiTheme="minorHAnsi" w:cs="Arial"/>
          <w:bCs/>
          <w:sz w:val="22"/>
          <w:szCs w:val="22"/>
          <w:lang w:val="en-US" w:eastAsia="en-US" w:bidi="en-US"/>
        </w:rPr>
        <w:t>(</w:t>
      </w:r>
      <w:r w:rsidR="00587AAA" w:rsidRPr="00587AAA">
        <w:rPr>
          <w:rFonts w:asciiTheme="minorHAnsi" w:hAnsiTheme="minorHAnsi"/>
          <w:bCs/>
          <w:sz w:val="22"/>
          <w:szCs w:val="22"/>
        </w:rPr>
        <w:t>v rámci projektu „Podpora přírodovědného a technického vzdělávání v Karlovarském kraji“,</w:t>
      </w:r>
      <w:r>
        <w:rPr>
          <w:rFonts w:asciiTheme="minorHAnsi" w:hAnsiTheme="minorHAnsi"/>
          <w:bCs/>
          <w:sz w:val="22"/>
          <w:szCs w:val="22"/>
        </w:rPr>
        <w:t xml:space="preserve"> </w:t>
      </w:r>
      <w:r w:rsidR="00587AAA" w:rsidRPr="00587AAA">
        <w:rPr>
          <w:rFonts w:asciiTheme="minorHAnsi" w:hAnsiTheme="minorHAnsi" w:cs="Arial"/>
          <w:bCs/>
          <w:sz w:val="22"/>
          <w:szCs w:val="22"/>
        </w:rPr>
        <w:t>registrační číslo projektu: CZ.1.07/1.1.00/44.0004)</w:t>
      </w:r>
    </w:p>
    <w:p w:rsidR="00635612" w:rsidRPr="00587AAA" w:rsidRDefault="00A01BD0" w:rsidP="00587AAA">
      <w:pPr>
        <w:spacing w:after="60"/>
        <w:contextualSpacing/>
        <w:jc w:val="center"/>
        <w:rPr>
          <w:rFonts w:asciiTheme="minorHAnsi" w:hAnsiTheme="minorHAnsi"/>
          <w:b/>
          <w:sz w:val="22"/>
          <w:szCs w:val="22"/>
        </w:rPr>
      </w:pPr>
      <w:r w:rsidRPr="00587AAA">
        <w:rPr>
          <w:rFonts w:asciiTheme="minorHAnsi" w:eastAsiaTheme="minorHAnsi" w:hAnsiTheme="minorHAnsi" w:cs="Arial"/>
          <w:bCs/>
          <w:sz w:val="22"/>
          <w:szCs w:val="22"/>
          <w:lang w:val="en-US" w:eastAsia="en-US" w:bidi="en-US"/>
        </w:rPr>
        <w:t xml:space="preserve">bude financována ze zdrojů Evropské unie (Evropského sociálního fondu), a to </w:t>
      </w:r>
      <w:r w:rsidRPr="00587AAA">
        <w:rPr>
          <w:rFonts w:asciiTheme="minorHAnsi" w:hAnsiTheme="minorHAnsi" w:cs="Arial"/>
          <w:bCs/>
          <w:sz w:val="22"/>
          <w:szCs w:val="22"/>
          <w:lang w:bidi="en-US"/>
        </w:rPr>
        <w:t xml:space="preserve">v rámci Operačního </w:t>
      </w:r>
      <w:r w:rsidRPr="00587AAA">
        <w:rPr>
          <w:rFonts w:asciiTheme="minorHAnsi" w:eastAsiaTheme="minorHAnsi" w:hAnsiTheme="minorHAnsi" w:cs="Arial"/>
          <w:bCs/>
          <w:sz w:val="22"/>
          <w:szCs w:val="22"/>
          <w:lang w:val="en-US" w:eastAsia="en-US" w:bidi="en-US"/>
        </w:rPr>
        <w:t>programu vzdělávání pro konkurenceschopnost (dále jen „OP VK“)</w:t>
      </w:r>
      <w:r w:rsidRPr="00587AAA">
        <w:rPr>
          <w:rFonts w:asciiTheme="minorHAnsi" w:hAnsiTheme="minorHAnsi" w:cs="Arial"/>
          <w:bCs/>
          <w:sz w:val="22"/>
          <w:szCs w:val="22"/>
          <w:lang w:bidi="en-US"/>
        </w:rPr>
        <w:t>.</w:t>
      </w:r>
      <w:r w:rsidR="00433BE5" w:rsidRPr="00587AAA">
        <w:rPr>
          <w:rFonts w:asciiTheme="minorHAnsi" w:hAnsiTheme="minorHAnsi"/>
          <w:b/>
          <w:sz w:val="22"/>
          <w:szCs w:val="22"/>
        </w:rPr>
        <w:t xml:space="preserve">          </w:t>
      </w: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lastRenderedPageBreak/>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9B3713" w:rsidRDefault="00465F57" w:rsidP="00587AA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56198F" w:rsidRPr="004A18C0" w:rsidRDefault="007B0158" w:rsidP="0056198F">
      <w:pPr>
        <w:pStyle w:val="Odstavecseseznamem"/>
        <w:numPr>
          <w:ilvl w:val="0"/>
          <w:numId w:val="33"/>
        </w:numPr>
        <w:ind w:left="1134" w:hanging="283"/>
        <w:rPr>
          <w:rFonts w:asciiTheme="minorHAnsi" w:hAnsiTheme="minorHAnsi"/>
          <w:b/>
          <w:color w:val="000000"/>
          <w:sz w:val="22"/>
          <w:szCs w:val="22"/>
        </w:rPr>
      </w:pPr>
      <w:r w:rsidRPr="004A18C0">
        <w:rPr>
          <w:rFonts w:asciiTheme="minorHAnsi" w:hAnsiTheme="minorHAnsi"/>
          <w:b/>
          <w:color w:val="000000"/>
          <w:sz w:val="22"/>
          <w:szCs w:val="22"/>
        </w:rPr>
        <w:t xml:space="preserve">2 ks </w:t>
      </w:r>
      <w:r w:rsidR="0056198F" w:rsidRPr="004A18C0">
        <w:rPr>
          <w:rFonts w:asciiTheme="minorHAnsi" w:hAnsiTheme="minorHAnsi"/>
          <w:b/>
          <w:color w:val="000000"/>
          <w:sz w:val="22"/>
          <w:szCs w:val="22"/>
        </w:rPr>
        <w:t>Detektor náboje,</w:t>
      </w:r>
    </w:p>
    <w:p w:rsidR="0056198F" w:rsidRPr="004A18C0" w:rsidRDefault="007B0158" w:rsidP="0056198F">
      <w:pPr>
        <w:pStyle w:val="Odstavecseseznamem"/>
        <w:numPr>
          <w:ilvl w:val="0"/>
          <w:numId w:val="33"/>
        </w:numPr>
        <w:ind w:left="1134" w:hanging="283"/>
        <w:rPr>
          <w:rFonts w:asciiTheme="minorHAnsi" w:hAnsiTheme="minorHAnsi"/>
          <w:b/>
          <w:color w:val="000000"/>
          <w:sz w:val="22"/>
          <w:szCs w:val="22"/>
        </w:rPr>
      </w:pPr>
      <w:r w:rsidRPr="004A18C0">
        <w:rPr>
          <w:rFonts w:asciiTheme="minorHAnsi" w:hAnsiTheme="minorHAnsi"/>
          <w:b/>
          <w:color w:val="000000"/>
          <w:sz w:val="22"/>
          <w:szCs w:val="22"/>
        </w:rPr>
        <w:t xml:space="preserve">1 ks </w:t>
      </w:r>
      <w:r w:rsidR="0056198F" w:rsidRPr="004A18C0">
        <w:rPr>
          <w:rFonts w:asciiTheme="minorHAnsi" w:hAnsiTheme="minorHAnsi"/>
          <w:b/>
          <w:color w:val="000000"/>
          <w:sz w:val="22"/>
          <w:szCs w:val="22"/>
        </w:rPr>
        <w:t>Skládání barev,</w:t>
      </w:r>
    </w:p>
    <w:p w:rsidR="0056198F" w:rsidRPr="004A18C0" w:rsidRDefault="007B0158" w:rsidP="0056198F">
      <w:pPr>
        <w:pStyle w:val="Odstavecseseznamem"/>
        <w:numPr>
          <w:ilvl w:val="0"/>
          <w:numId w:val="33"/>
        </w:numPr>
        <w:ind w:left="1134" w:hanging="283"/>
        <w:rPr>
          <w:rFonts w:asciiTheme="minorHAnsi" w:hAnsiTheme="minorHAnsi"/>
          <w:b/>
          <w:color w:val="000000"/>
          <w:sz w:val="22"/>
          <w:szCs w:val="22"/>
        </w:rPr>
      </w:pPr>
      <w:r w:rsidRPr="004A18C0">
        <w:rPr>
          <w:rFonts w:asciiTheme="minorHAnsi" w:hAnsiTheme="minorHAnsi"/>
          <w:b/>
          <w:color w:val="000000"/>
          <w:sz w:val="22"/>
          <w:szCs w:val="22"/>
        </w:rPr>
        <w:t xml:space="preserve">1 ks </w:t>
      </w:r>
      <w:r w:rsidR="0056198F" w:rsidRPr="004A18C0">
        <w:rPr>
          <w:rFonts w:asciiTheme="minorHAnsi" w:hAnsiTheme="minorHAnsi"/>
          <w:b/>
          <w:color w:val="000000"/>
          <w:sz w:val="22"/>
          <w:szCs w:val="22"/>
        </w:rPr>
        <w:t>Newtonův disk,</w:t>
      </w:r>
    </w:p>
    <w:p w:rsidR="0056198F" w:rsidRPr="004A18C0" w:rsidRDefault="007B0158" w:rsidP="0056198F">
      <w:pPr>
        <w:pStyle w:val="Odstavecseseznamem"/>
        <w:numPr>
          <w:ilvl w:val="0"/>
          <w:numId w:val="33"/>
        </w:numPr>
        <w:suppressAutoHyphens/>
        <w:spacing w:after="40" w:line="276" w:lineRule="auto"/>
        <w:ind w:left="1134" w:hanging="283"/>
        <w:jc w:val="both"/>
        <w:rPr>
          <w:rFonts w:asciiTheme="minorHAnsi" w:hAnsiTheme="minorHAnsi"/>
          <w:b/>
          <w:color w:val="000000"/>
          <w:sz w:val="22"/>
          <w:szCs w:val="22"/>
        </w:rPr>
      </w:pPr>
      <w:r w:rsidRPr="004A18C0">
        <w:rPr>
          <w:rFonts w:asciiTheme="minorHAnsi" w:hAnsiTheme="minorHAnsi"/>
          <w:b/>
          <w:color w:val="000000"/>
          <w:sz w:val="22"/>
          <w:szCs w:val="22"/>
        </w:rPr>
        <w:t xml:space="preserve">1 ks </w:t>
      </w:r>
      <w:r w:rsidR="0056198F" w:rsidRPr="004A18C0">
        <w:rPr>
          <w:rFonts w:asciiTheme="minorHAnsi" w:hAnsiTheme="minorHAnsi"/>
          <w:b/>
          <w:color w:val="000000"/>
          <w:sz w:val="22"/>
          <w:szCs w:val="22"/>
        </w:rPr>
        <w:t>Leslieho kostka,</w:t>
      </w:r>
    </w:p>
    <w:p w:rsidR="00E914B5" w:rsidRPr="004A18C0" w:rsidRDefault="007B0158" w:rsidP="0056198F">
      <w:pPr>
        <w:pStyle w:val="Odstavecseseznamem"/>
        <w:numPr>
          <w:ilvl w:val="0"/>
          <w:numId w:val="33"/>
        </w:numPr>
        <w:suppressAutoHyphens/>
        <w:spacing w:after="40" w:line="276" w:lineRule="auto"/>
        <w:ind w:left="1134" w:hanging="283"/>
        <w:jc w:val="both"/>
        <w:rPr>
          <w:rFonts w:asciiTheme="minorHAnsi" w:hAnsiTheme="minorHAnsi"/>
          <w:b/>
          <w:color w:val="000000"/>
          <w:sz w:val="22"/>
          <w:szCs w:val="22"/>
        </w:rPr>
      </w:pPr>
      <w:r w:rsidRPr="004A18C0">
        <w:rPr>
          <w:rFonts w:asciiTheme="minorHAnsi" w:hAnsiTheme="minorHAnsi"/>
          <w:b/>
          <w:color w:val="000000"/>
          <w:sz w:val="22"/>
          <w:szCs w:val="22"/>
        </w:rPr>
        <w:t xml:space="preserve">1 ks </w:t>
      </w:r>
      <w:r w:rsidR="00E914B5" w:rsidRPr="004A18C0">
        <w:rPr>
          <w:rFonts w:asciiTheme="minorHAnsi" w:hAnsiTheme="minorHAnsi"/>
          <w:b/>
          <w:color w:val="000000"/>
          <w:sz w:val="22"/>
          <w:szCs w:val="22"/>
        </w:rPr>
        <w:t>Generátor funkcí,</w:t>
      </w:r>
    </w:p>
    <w:p w:rsidR="0056198F" w:rsidRPr="004A18C0" w:rsidRDefault="007B0158" w:rsidP="00E914B5">
      <w:pPr>
        <w:pStyle w:val="Odstavecseseznamem"/>
        <w:numPr>
          <w:ilvl w:val="0"/>
          <w:numId w:val="33"/>
        </w:numPr>
        <w:suppressAutoHyphens/>
        <w:spacing w:after="40" w:line="276" w:lineRule="auto"/>
        <w:ind w:left="1134" w:hanging="283"/>
        <w:jc w:val="both"/>
        <w:rPr>
          <w:rFonts w:asciiTheme="minorHAnsi" w:eastAsia="Arial Unicode MS" w:hAnsiTheme="minorHAnsi" w:cs="Arial"/>
          <w:b/>
          <w:sz w:val="22"/>
          <w:szCs w:val="22"/>
          <w:lang w:eastAsia="ar-SA"/>
        </w:rPr>
      </w:pPr>
      <w:r w:rsidRPr="004A18C0">
        <w:rPr>
          <w:rFonts w:asciiTheme="minorHAnsi" w:hAnsiTheme="minorHAnsi"/>
          <w:b/>
          <w:color w:val="000000"/>
          <w:sz w:val="22"/>
          <w:szCs w:val="22"/>
        </w:rPr>
        <w:t xml:space="preserve">1 ks </w:t>
      </w:r>
      <w:r w:rsidR="0056198F" w:rsidRPr="004A18C0">
        <w:rPr>
          <w:rFonts w:asciiTheme="minorHAnsi" w:eastAsia="Arial Unicode MS" w:hAnsiTheme="minorHAnsi" w:cs="Arial"/>
          <w:b/>
          <w:sz w:val="22"/>
          <w:szCs w:val="22"/>
          <w:lang w:eastAsia="ar-SA"/>
        </w:rPr>
        <w:t>Magdeburské polokoule</w:t>
      </w:r>
      <w:r w:rsidR="00E914B5" w:rsidRPr="004A18C0">
        <w:rPr>
          <w:rFonts w:asciiTheme="minorHAnsi" w:eastAsia="Arial Unicode MS" w:hAnsiTheme="minorHAnsi" w:cs="Arial"/>
          <w:b/>
          <w:sz w:val="22"/>
          <w:szCs w:val="22"/>
          <w:lang w:eastAsia="ar-SA"/>
        </w:rPr>
        <w:t>.</w:t>
      </w:r>
    </w:p>
    <w:p w:rsidR="00465F57" w:rsidRPr="009B3713" w:rsidRDefault="00380EFA" w:rsidP="00587AAA">
      <w:pPr>
        <w:pStyle w:val="Bezmezer"/>
        <w:numPr>
          <w:ilvl w:val="0"/>
          <w:numId w:val="0"/>
        </w:numPr>
        <w:ind w:left="709" w:hanging="709"/>
      </w:pPr>
      <w:r>
        <w:t xml:space="preserve">              </w:t>
      </w:r>
      <w:r w:rsidR="00465F57" w:rsidRPr="009B3713">
        <w:t xml:space="preserve">v rozsahu a specifikaci uvedené v </w:t>
      </w:r>
      <w:r w:rsidR="00465F57" w:rsidRPr="00CA21E3">
        <w:t>příloze č. 1 této smlouvy</w:t>
      </w:r>
      <w:r w:rsidR="00465F57" w:rsidRPr="009B3713">
        <w:t xml:space="preserve">.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885E32">
        <w:rPr>
          <w:rFonts w:asciiTheme="minorHAnsi" w:hAnsiTheme="minorHAnsi"/>
          <w:sz w:val="22"/>
          <w:szCs w:val="22"/>
          <w:lang w:val="en-US"/>
        </w:rPr>
        <w:t>42</w:t>
      </w:r>
      <w:r w:rsidR="00587AAA">
        <w:rPr>
          <w:rFonts w:asciiTheme="minorHAnsi" w:hAnsiTheme="minorHAnsi"/>
          <w:sz w:val="22"/>
          <w:szCs w:val="22"/>
          <w:lang w:val="en-US"/>
        </w:rPr>
        <w:t xml:space="preserve"> dnů od podpisu smlouvy.</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 xml:space="preserve">O předání a převzetí zboží se sepíše protokol, který jsou povinny podepsat obě smluvní strany. V případě, že se kupující na výzvu prodávajícího k převzetí zboží nedostaví nebo </w:t>
      </w:r>
      <w:r w:rsidRPr="009B3713">
        <w:rPr>
          <w:rFonts w:asciiTheme="minorHAnsi" w:hAnsiTheme="minorHAnsi"/>
          <w:sz w:val="22"/>
          <w:szCs w:val="22"/>
          <w:lang w:val="en-US"/>
        </w:rPr>
        <w:lastRenderedPageBreak/>
        <w:t>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9B3713"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587AAA">
      <w:pPr>
        <w:autoSpaceDE w:val="0"/>
        <w:autoSpaceDN w:val="0"/>
        <w:adjustRightInd w:val="0"/>
        <w:jc w:val="both"/>
        <w:rPr>
          <w:rFonts w:asciiTheme="minorHAnsi" w:hAnsiTheme="minorHAnsi"/>
          <w:sz w:val="22"/>
          <w:szCs w:val="22"/>
          <w:lang w:val="en-US"/>
        </w:rPr>
      </w:pP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09"/>
        <w:gridCol w:w="3112"/>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001A7084">
        <w:rPr>
          <w:rFonts w:asciiTheme="minorHAnsi" w:hAnsiTheme="minorHAnsi"/>
          <w:sz w:val="22"/>
          <w:szCs w:val="22"/>
          <w:lang w:val="en-US"/>
        </w:rPr>
        <w:t xml:space="preserve">     </w:t>
      </w:r>
      <w:r w:rsidR="001A7084"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1A7084">
        <w:rPr>
          <w:rFonts w:asciiTheme="minorHAnsi" w:hAnsiTheme="minorHAnsi"/>
          <w:sz w:val="22"/>
          <w:szCs w:val="22"/>
          <w:lang w:val="en-US"/>
        </w:rPr>
        <w:t>plnění</w:t>
      </w:r>
      <w:r w:rsidR="001A7084"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1A7084">
        <w:rPr>
          <w:rFonts w:asciiTheme="minorHAnsi" w:hAnsiTheme="minorHAnsi"/>
          <w:sz w:val="22"/>
          <w:szCs w:val="22"/>
          <w:lang w:val="en-US"/>
        </w:rPr>
        <w:t xml:space="preserve"> </w:t>
      </w:r>
      <w:r w:rsidR="001A7084" w:rsidRPr="00DB1657">
        <w:rPr>
          <w:rFonts w:ascii="Calibri" w:eastAsia="JohnSans Text Pro" w:hAnsi="Calibri" w:cs="Arial"/>
          <w:sz w:val="22"/>
          <w:szCs w:val="22"/>
        </w:rPr>
        <w:t>dle zákona č. 320/2001 Sb., o finanční kontrole, ve znění pozdějších předpisů</w:t>
      </w:r>
      <w:r w:rsidR="001A7084">
        <w:rPr>
          <w:rFonts w:ascii="Calibri" w:eastAsia="JohnSans Text Pro" w:hAnsi="Calibri" w:cs="Arial"/>
          <w:sz w:val="22"/>
          <w:szCs w:val="22"/>
        </w:rPr>
        <w: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E914B5" w:rsidRDefault="00E914B5" w:rsidP="00587AAA">
      <w:pPr>
        <w:autoSpaceDE w:val="0"/>
        <w:autoSpaceDN w:val="0"/>
        <w:adjustRightInd w:val="0"/>
        <w:spacing w:after="120"/>
        <w:ind w:left="709" w:right="570"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lastRenderedPageBreak/>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587AAA" w:rsidRDefault="00587AAA" w:rsidP="00587AAA">
      <w:pPr>
        <w:autoSpaceDE w:val="0"/>
        <w:autoSpaceDN w:val="0"/>
        <w:adjustRightInd w:val="0"/>
        <w:spacing w:after="120"/>
        <w:ind w:left="709" w:hanging="709"/>
        <w:jc w:val="both"/>
        <w:rPr>
          <w:rFonts w:asciiTheme="minorHAnsi" w:hAnsiTheme="minorHAnsi"/>
          <w:sz w:val="22"/>
          <w:szCs w:val="22"/>
          <w:lang w:val="en-US"/>
        </w:rPr>
      </w:pPr>
    </w:p>
    <w:p w:rsidR="00B87903" w:rsidRDefault="00B87903" w:rsidP="00587AAA">
      <w:pPr>
        <w:autoSpaceDE w:val="0"/>
        <w:autoSpaceDN w:val="0"/>
        <w:adjustRightInd w:val="0"/>
        <w:spacing w:after="120"/>
        <w:ind w:left="709" w:hanging="709"/>
        <w:jc w:val="both"/>
        <w:rPr>
          <w:rFonts w:asciiTheme="minorHAnsi" w:hAnsiTheme="minorHAnsi"/>
          <w:sz w:val="22"/>
          <w:szCs w:val="22"/>
          <w:lang w:val="en-US"/>
        </w:rPr>
      </w:pPr>
    </w:p>
    <w:p w:rsidR="00B87903" w:rsidRDefault="00B87903"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587AAA">
        <w:rPr>
          <w:rFonts w:asciiTheme="minorHAnsi" w:hAnsiTheme="minorHAnsi"/>
          <w:sz w:val="22"/>
          <w:szCs w:val="22"/>
          <w:lang w:val="en-US"/>
        </w:rPr>
        <w:t>kupujícího</w:t>
      </w:r>
      <w:r w:rsidRPr="00587AAA">
        <w:rPr>
          <w:rFonts w:asciiTheme="minorHAnsi" w:hAnsiTheme="minorHAnsi"/>
          <w:sz w:val="22"/>
          <w:szCs w:val="22"/>
          <w:lang w:val="en-US"/>
        </w:rPr>
        <w:t xml:space="preserve"> ve věcech technických:</w:t>
      </w:r>
      <w:r w:rsidR="009D05F9"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Mgr. Jan Žídek</w:t>
      </w:r>
      <w:r w:rsidR="00A01BD0"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 xml:space="preserve">e-mail: </w:t>
      </w:r>
      <w:hyperlink r:id="rId8" w:history="1">
        <w:r w:rsidR="00587AAA" w:rsidRPr="00587AAA">
          <w:rPr>
            <w:rStyle w:val="Hypertextovodkaz"/>
            <w:rFonts w:asciiTheme="minorHAnsi" w:hAnsiTheme="minorHAnsi" w:cs="Arial"/>
            <w:sz w:val="22"/>
            <w:szCs w:val="22"/>
          </w:rPr>
          <w:t>zidek@gymcheb.cz</w:t>
        </w:r>
      </w:hyperlink>
      <w:r w:rsidR="00587AAA" w:rsidRPr="00587AAA">
        <w:rPr>
          <w:rStyle w:val="Hypertextovodkaz"/>
          <w:rFonts w:asciiTheme="minorHAnsi" w:hAnsiTheme="minorHAnsi" w:cs="Arial"/>
          <w:sz w:val="22"/>
          <w:szCs w:val="22"/>
        </w:rPr>
        <w:t xml:space="preserve">, </w:t>
      </w:r>
      <w:r w:rsidR="00A01BD0" w:rsidRPr="00587AAA">
        <w:rPr>
          <w:rFonts w:asciiTheme="minorHAnsi" w:hAnsiTheme="minorHAnsi"/>
          <w:sz w:val="22"/>
          <w:szCs w:val="22"/>
          <w:lang w:val="en-US"/>
        </w:rPr>
        <w:t xml:space="preserve">tel.: </w:t>
      </w:r>
      <w:r w:rsidR="00587AAA" w:rsidRPr="00587AAA">
        <w:rPr>
          <w:rFonts w:asciiTheme="minorHAnsi" w:hAnsiTheme="minorHAnsi"/>
          <w:sz w:val="22"/>
          <w:szCs w:val="22"/>
        </w:rPr>
        <w:t>739 322 319/kl. 239</w:t>
      </w:r>
      <w:r w:rsidR="00A01BD0" w:rsidRPr="00587AAA">
        <w:rPr>
          <w:rFonts w:asciiTheme="minorHAnsi" w:hAnsiTheme="minorHAnsi"/>
          <w:sz w:val="22"/>
          <w:szCs w:val="22"/>
          <w:lang w:val="en-US"/>
        </w:rPr>
        <w:t>.</w:t>
      </w:r>
    </w:p>
    <w:p w:rsidR="00433BE5" w:rsidRPr="009B3713" w:rsidRDefault="009D05F9"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00587AAA">
        <w:rPr>
          <w:rFonts w:asciiTheme="minorHAnsi" w:hAnsiTheme="minorHAnsi"/>
          <w:sz w:val="22"/>
          <w:szCs w:val="22"/>
          <w:lang w:val="en-US"/>
        </w:rPr>
        <w:t xml:space="preserve"> RNDr. Ing. Jaroslav Kočvara,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r w:rsidR="00807900">
        <w:rPr>
          <w:rFonts w:asciiTheme="minorHAnsi" w:hAnsiTheme="minorHAnsi"/>
          <w:sz w:val="22"/>
          <w:szCs w:val="22"/>
          <w:lang w:val="en-US"/>
        </w:rPr>
        <w:t xml:space="preserve"> </w:t>
      </w:r>
      <w:r w:rsidR="00807900" w:rsidRPr="009B3713">
        <w:rPr>
          <w:rFonts w:asciiTheme="minorHAnsi" w:hAnsiTheme="minorHAnsi" w:cs="Arial"/>
          <w:i/>
          <w:iCs/>
          <w:color w:val="0000FF"/>
          <w:sz w:val="22"/>
          <w:szCs w:val="22"/>
        </w:rPr>
        <w:t>(doplní uchazeč)</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XV.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807900" w:rsidRDefault="00433BE5" w:rsidP="00587AAA">
      <w:pPr>
        <w:autoSpaceDE w:val="0"/>
        <w:autoSpaceDN w:val="0"/>
        <w:adjustRightInd w:val="0"/>
        <w:spacing w:after="120"/>
        <w:ind w:left="709" w:hanging="709"/>
        <w:jc w:val="both"/>
        <w:rPr>
          <w:rFonts w:asciiTheme="minorHAnsi" w:hAnsiTheme="minorHAnsi"/>
          <w:sz w:val="24"/>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w:t>
      </w:r>
      <w:bookmarkStart w:id="0" w:name="_GoBack"/>
      <w:r w:rsidRPr="00CA21E3">
        <w:rPr>
          <w:rFonts w:asciiTheme="minorHAnsi" w:hAnsiTheme="minorHAnsi"/>
          <w:sz w:val="22"/>
          <w:szCs w:val="22"/>
          <w:lang w:val="en-US"/>
        </w:rPr>
        <w:t xml:space="preserve">Příloha </w:t>
      </w:r>
      <w:r w:rsidR="00807900" w:rsidRPr="00CA21E3">
        <w:rPr>
          <w:rFonts w:asciiTheme="minorHAnsi" w:hAnsiTheme="minorHAnsi"/>
          <w:sz w:val="22"/>
          <w:szCs w:val="22"/>
          <w:lang w:val="en-US"/>
        </w:rPr>
        <w:t xml:space="preserve">č. 1: </w:t>
      </w:r>
      <w:r w:rsidR="00807900" w:rsidRPr="00CA21E3">
        <w:rPr>
          <w:rFonts w:asciiTheme="minorHAnsi" w:hAnsiTheme="minorHAnsi"/>
          <w:i/>
          <w:sz w:val="24"/>
        </w:rPr>
        <w:t xml:space="preserve">Technická </w:t>
      </w:r>
      <w:bookmarkEnd w:id="0"/>
      <w:r w:rsidR="00807900" w:rsidRPr="005624A7">
        <w:rPr>
          <w:rFonts w:asciiTheme="minorHAnsi" w:hAnsiTheme="minorHAnsi"/>
          <w:i/>
          <w:sz w:val="24"/>
        </w:rPr>
        <w:t>specifikace a další požadavky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587AA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00587AAA">
        <w:rPr>
          <w:rFonts w:asciiTheme="minorHAnsi" w:hAnsiTheme="minorHAnsi"/>
          <w:sz w:val="22"/>
          <w:szCs w:val="22"/>
          <w:lang w:val="en-US"/>
        </w:rPr>
        <w:t xml:space="preserve">        </w:t>
      </w:r>
      <w:r w:rsidR="009B3713">
        <w:rPr>
          <w:rFonts w:asciiTheme="minorHAnsi" w:hAnsiTheme="minorHAnsi"/>
          <w:sz w:val="22"/>
          <w:szCs w:val="22"/>
          <w:lang w:val="en-US"/>
        </w:rPr>
        <w:t xml:space="preserve"> </w:t>
      </w:r>
      <w:r w:rsidRPr="009B3713">
        <w:rPr>
          <w:rFonts w:asciiTheme="minorHAnsi" w:hAnsiTheme="minorHAnsi"/>
          <w:sz w:val="22"/>
          <w:szCs w:val="22"/>
          <w:lang w:val="en-US"/>
        </w:rPr>
        <w:t>________________________________</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r w:rsidR="00807900">
        <w:rPr>
          <w:rFonts w:asciiTheme="minorHAnsi" w:hAnsiTheme="minorHAnsi"/>
          <w:sz w:val="22"/>
          <w:szCs w:val="22"/>
          <w:lang w:val="en-US"/>
        </w:rPr>
        <w:tab/>
      </w:r>
      <w:r w:rsidR="00807900">
        <w:rPr>
          <w:rFonts w:asciiTheme="minorHAnsi" w:hAnsiTheme="minorHAnsi"/>
          <w:sz w:val="22"/>
          <w:szCs w:val="22"/>
          <w:lang w:val="en-US"/>
        </w:rPr>
        <w:tab/>
      </w:r>
      <w:r w:rsidR="00807900">
        <w:rPr>
          <w:rFonts w:asciiTheme="minorHAnsi" w:hAnsiTheme="minorHAnsi"/>
          <w:sz w:val="22"/>
          <w:szCs w:val="22"/>
          <w:lang w:val="en-US"/>
        </w:rPr>
        <w:tab/>
      </w:r>
      <w:r w:rsidR="00807900">
        <w:rPr>
          <w:rFonts w:asciiTheme="minorHAnsi" w:hAnsiTheme="minorHAnsi"/>
          <w:sz w:val="22"/>
          <w:szCs w:val="22"/>
          <w:lang w:val="en-US"/>
        </w:rPr>
        <w:tab/>
      </w:r>
      <w:r w:rsidR="00807900">
        <w:rPr>
          <w:rFonts w:asciiTheme="minorHAnsi" w:hAnsiTheme="minorHAnsi"/>
          <w:sz w:val="22"/>
          <w:szCs w:val="22"/>
          <w:lang w:val="en-US"/>
        </w:rPr>
        <w:tab/>
      </w:r>
      <w:r w:rsidR="00807900">
        <w:rPr>
          <w:rFonts w:asciiTheme="minorHAnsi" w:hAnsiTheme="minorHAnsi"/>
          <w:sz w:val="22"/>
          <w:szCs w:val="22"/>
          <w:lang w:val="en-US"/>
        </w:rPr>
        <w:tab/>
      </w:r>
      <w:r w:rsidR="00807900" w:rsidRPr="009B3713">
        <w:rPr>
          <w:rFonts w:asciiTheme="minorHAnsi" w:hAnsiTheme="minorHAnsi" w:cs="Arial"/>
          <w:i/>
          <w:iCs/>
          <w:color w:val="0000FF"/>
          <w:sz w:val="22"/>
          <w:szCs w:val="22"/>
        </w:rPr>
        <w:t>(doplní uchazeč)</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587AAA">
        <w:rPr>
          <w:rFonts w:asciiTheme="minorHAnsi" w:hAnsiTheme="minorHAnsi"/>
          <w:sz w:val="22"/>
          <w:szCs w:val="22"/>
          <w:lang w:val="en-US"/>
        </w:rPr>
        <w:t xml:space="preserve">      </w:t>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587AAA">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457DC9"/>
    <w:multiLevelType w:val="multilevel"/>
    <w:tmpl w:val="B7444BA8"/>
    <w:lvl w:ilvl="0">
      <w:start w:val="1"/>
      <w:numFmt w:val="bullet"/>
      <w:lvlText w:val=""/>
      <w:lvlJc w:val="left"/>
      <w:pPr>
        <w:ind w:left="360" w:hanging="360"/>
      </w:pPr>
      <w:rPr>
        <w:rFonts w:ascii="Symbol" w:hAnsi="Symbol"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F2A67B5"/>
    <w:multiLevelType w:val="hybridMultilevel"/>
    <w:tmpl w:val="A9F6C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1">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8">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9">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3">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7"/>
  </w:num>
  <w:num w:numId="3">
    <w:abstractNumId w:val="10"/>
  </w:num>
  <w:num w:numId="4">
    <w:abstractNumId w:val="11"/>
  </w:num>
  <w:num w:numId="5">
    <w:abstractNumId w:val="22"/>
  </w:num>
  <w:num w:numId="6">
    <w:abstractNumId w:val="19"/>
  </w:num>
  <w:num w:numId="7">
    <w:abstractNumId w:val="31"/>
  </w:num>
  <w:num w:numId="8">
    <w:abstractNumId w:val="28"/>
  </w:num>
  <w:num w:numId="9">
    <w:abstractNumId w:val="14"/>
  </w:num>
  <w:num w:numId="10">
    <w:abstractNumId w:val="27"/>
  </w:num>
  <w:num w:numId="11">
    <w:abstractNumId w:val="20"/>
  </w:num>
  <w:num w:numId="12">
    <w:abstractNumId w:val="26"/>
  </w:num>
  <w:num w:numId="13">
    <w:abstractNumId w:val="7"/>
  </w:num>
  <w:num w:numId="14">
    <w:abstractNumId w:val="20"/>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6"/>
  </w:num>
  <w:num w:numId="16">
    <w:abstractNumId w:val="21"/>
  </w:num>
  <w:num w:numId="17">
    <w:abstractNumId w:val="30"/>
  </w:num>
  <w:num w:numId="18">
    <w:abstractNumId w:val="4"/>
  </w:num>
  <w:num w:numId="19">
    <w:abstractNumId w:val="1"/>
  </w:num>
  <w:num w:numId="20">
    <w:abstractNumId w:val="23"/>
  </w:num>
  <w:num w:numId="21">
    <w:abstractNumId w:val="2"/>
  </w:num>
  <w:num w:numId="22">
    <w:abstractNumId w:val="12"/>
  </w:num>
  <w:num w:numId="23">
    <w:abstractNumId w:val="25"/>
  </w:num>
  <w:num w:numId="24">
    <w:abstractNumId w:val="9"/>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9"/>
  </w:num>
  <w:num w:numId="29">
    <w:abstractNumId w:val="18"/>
  </w:num>
  <w:num w:numId="30">
    <w:abstractNumId w:val="15"/>
  </w:num>
  <w:num w:numId="31">
    <w:abstractNumId w:val="8"/>
  </w:num>
  <w:num w:numId="32">
    <w:abstractNumId w:val="13"/>
  </w:num>
  <w:num w:numId="33">
    <w:abstractNumId w:val="3"/>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1833B8"/>
    <w:rsid w:val="001A191F"/>
    <w:rsid w:val="001A7084"/>
    <w:rsid w:val="001B5429"/>
    <w:rsid w:val="001D5543"/>
    <w:rsid w:val="00236237"/>
    <w:rsid w:val="00244E32"/>
    <w:rsid w:val="00290ED7"/>
    <w:rsid w:val="00327D40"/>
    <w:rsid w:val="00332FC0"/>
    <w:rsid w:val="003557DB"/>
    <w:rsid w:val="003611FB"/>
    <w:rsid w:val="00380EFA"/>
    <w:rsid w:val="003A396E"/>
    <w:rsid w:val="003B6BFF"/>
    <w:rsid w:val="003C0F9B"/>
    <w:rsid w:val="003D0E7C"/>
    <w:rsid w:val="00433BE5"/>
    <w:rsid w:val="00445CDB"/>
    <w:rsid w:val="00465F57"/>
    <w:rsid w:val="004A18C0"/>
    <w:rsid w:val="005615B0"/>
    <w:rsid w:val="0056198F"/>
    <w:rsid w:val="00587700"/>
    <w:rsid w:val="00587AAA"/>
    <w:rsid w:val="00592F4D"/>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B0158"/>
    <w:rsid w:val="007D45A8"/>
    <w:rsid w:val="00807900"/>
    <w:rsid w:val="00825D8F"/>
    <w:rsid w:val="00864E14"/>
    <w:rsid w:val="00865518"/>
    <w:rsid w:val="00885E32"/>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90155"/>
    <w:rsid w:val="00B029A0"/>
    <w:rsid w:val="00B668F0"/>
    <w:rsid w:val="00B87903"/>
    <w:rsid w:val="00B9461B"/>
    <w:rsid w:val="00BC44D9"/>
    <w:rsid w:val="00BE057A"/>
    <w:rsid w:val="00C3722C"/>
    <w:rsid w:val="00C64072"/>
    <w:rsid w:val="00C73688"/>
    <w:rsid w:val="00C75EDD"/>
    <w:rsid w:val="00CA21E3"/>
    <w:rsid w:val="00CC3CAD"/>
    <w:rsid w:val="00CD69E8"/>
    <w:rsid w:val="00D649E5"/>
    <w:rsid w:val="00D8475B"/>
    <w:rsid w:val="00DA1CD5"/>
    <w:rsid w:val="00DB664C"/>
    <w:rsid w:val="00DC0776"/>
    <w:rsid w:val="00E71BB2"/>
    <w:rsid w:val="00E914B5"/>
    <w:rsid w:val="00EC3D12"/>
    <w:rsid w:val="00F12CA2"/>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de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2756</Words>
  <Characters>16266</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gymcheb</cp:lastModifiedBy>
  <cp:revision>11</cp:revision>
  <cp:lastPrinted>2013-06-11T05:00:00Z</cp:lastPrinted>
  <dcterms:created xsi:type="dcterms:W3CDTF">2014-06-06T12:21:00Z</dcterms:created>
  <dcterms:modified xsi:type="dcterms:W3CDTF">2014-06-16T12:49:00Z</dcterms:modified>
</cp:coreProperties>
</file>